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Исх. N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156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/1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 от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 апреля 2026 г. В Арбитражный суд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Брянской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 области</w:t>
        <w:br w:type="textWrapping"/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Адрес: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241037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, 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Брянск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, ул.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Тельмана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, д.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  <w:rtl w:val="0"/>
        </w:rPr>
        <w:t xml:space="preserve">Истец (ответчик по первоначальному иску):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Общество с ограниченной ответственностью 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Март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"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Адрес: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241001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, 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Брянск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, ул.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Клары Цеткин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, д.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, корп.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ИНН 2234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331102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Телефон: +7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900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035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5-71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Электронная почта: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mart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@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grand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firma.ru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  <w:rtl w:val="0"/>
        </w:rPr>
        <w:t xml:space="preserve">Ответчик (истец по первоначальному иску):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Общество с ограниченной ответственностью 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Апрель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"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ИНН 221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43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8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ОГРН 2234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56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2113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Адрес: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241011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, 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Брянск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ул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Красноармейская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, д.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, стр.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Телефон: +7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4832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66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Адрес электронной почты: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mallCaps w:val="0"/>
            <w:sz w:val="24"/>
            <w:szCs w:val="24"/>
            <w:rtl w:val="0"/>
          </w:rPr>
          <w:t xml:space="preserve">@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orrixe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smallCaps w:val="0"/>
            <w:sz w:val="24"/>
            <w:szCs w:val="24"/>
            <w:rtl w:val="0"/>
          </w:rPr>
          <w:t xml:space="preserve">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  <w:rtl w:val="0"/>
        </w:rPr>
        <w:t xml:space="preserve">Цена иска: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rtl w:val="0"/>
        </w:rPr>
        <w:t xml:space="preserve"> 000 руб.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  <w:rtl w:val="0"/>
        </w:rPr>
        <w:t xml:space="preserve">Государственная пошлина: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  <w:rtl w:val="0"/>
        </w:rPr>
        <w:t xml:space="preserve"> 10 000 руб.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  <w:rtl w:val="0"/>
        </w:rPr>
        <w:t xml:space="preserve">Дело N: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А98-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65/202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Судья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Андреевский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  <w:rtl w:val="0"/>
        </w:rPr>
        <w:t xml:space="preserve">ВСТРЕЧНОЕ ИСКОВОЕ ЗАЯВЛЕНИЕ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  <w:rtl w:val="0"/>
        </w:rPr>
        <w:t xml:space="preserve">о взыскании неустойки за просрочку поставки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В производстве Арбитражного суда Энской области находится гражданское дело 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А98-621265/2026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по иску ООО 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Апрель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" к ООО 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Март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" о взыскании платы за поставленный товар в размере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210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000 руб. Однако у ООО 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Март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" (далее - истец) имеются встречные требования к ООО 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Апрель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" (далее - ответчик), возникшие из того же договора поставки 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.2025 N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(далее - договор).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В соответствии с п. 2.1 договора ответчик принял на себя обязательство поставить истцу товар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брус естественной влажности, обрезной 100х100х6000 сорт 1-3 (0,06 м3/шт)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100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куб.м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. на сумму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40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0 000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четыреста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тысяч) руб. - не позднее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октября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2025 г.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октября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2025 г. истец перечислил на расчетный счет поставщика предоплату в размере 50% стоимости товара, что составляет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000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двести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тысяч) руб.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В нарушение условий договора ответчик поставил товар лишь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ноября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2025 г. Товарная накладная от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.2025 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158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прилагается.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В силу п. 1 ст. 330 ГК РФ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В соответствии с п. 7.1 договора за нарушение срока поставки товара предусмотрена неустойка (пени) в размере 0,3% от стоимости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непоставленного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в срок товара за каждый день просрочки. Следовательно, с ответчика подлежит взысканию неустойка. Сумма неустойки составляет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00 (двадцать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тысяча шестьсот) руб. (расчет прилагается).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Согласно ч. 3 ст. 132 АПК РФ встречный иск принимается арбитражным судом, если: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встречное требование направлено к зачету первоначального требования;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удовлетворение встречного иска исключает полностью или в части удовлетворение первоначального иска;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между встречным и первоначальным исками имеется взаимная связь и их совместное рассмотрение приведет к более быстрому и правильному рассмотрению дела.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Поскольку все эти условия соблюдены, требование истца о взыскании неустойки и требование ответчика о взыскании оплаты по договору поставки нужно рассматривать совместно.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На основании изложенного, руководствуясь ст. 330 ГК РФ, ст. ст. 125, 126, 132 АПК РФ,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ПРОШУ: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Взыскать с ответчика в пользу истца неустойку в размере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00 (двадцать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тысяча шестьсот) руб.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Взыскать с ответчика в пользу истца судебные расходы: уплаченную государственную пошлину в размере 10 000 (десять тысяч) руб.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ПРИЛОЖЕНИЕ: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Расчет неустойки (пеней).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Договор поставки 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01.10.2025 N 121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(копия).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Товарная накладная 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21.11.2025 N 158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(копия).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Уведомление о вручении ответчику копии искового заявления и приложенных документов, которые у него отсутствуют.</w:t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Платежное поручение 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04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 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, подтверждающее уплату государственной пошлины.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Протокол общего собрания участников ООО "Альфа" 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.0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.2025 N 1 об избрании директора (копия).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Выписка из ЕГРЮЛ в отношении ООО 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Март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" 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.04.2026 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56821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Выписка из ЕГРЮЛ в отношении ООО 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Апрель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" 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.04.2026 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49264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Директор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ООО 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Март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" ________________/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С.В.Карачев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Приложение N 1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к встречному исковому заявлению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right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.04.2026 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156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/1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  <w:rtl w:val="0"/>
        </w:rPr>
        <w:t xml:space="preserve">Расчет неустойки (пеней)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7"/>
        <w:gridCol w:w="1842"/>
        <w:gridCol w:w="1843.0000000000007"/>
        <w:gridCol w:w="991.9999999999993"/>
        <w:gridCol w:w="2551"/>
        <w:gridCol w:w="1417.9999999999995"/>
        <w:tblGridChange w:id="0">
          <w:tblGrid>
            <w:gridCol w:w="2127"/>
            <w:gridCol w:w="1842"/>
            <w:gridCol w:w="1843.0000000000007"/>
            <w:gridCol w:w="991.9999999999993"/>
            <w:gridCol w:w="2551"/>
            <w:gridCol w:w="1417.9999999999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Стоимость не поставленного в срок товара (руб.)</w:t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Период просрочки исполнения обязанности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Формула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Сумма неустойки (руб.)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с (день, следующий за днем поставки по договору)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по (день фактической поставки)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кол-во дней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00 000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.2025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.2025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 000 x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 x 0,3%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21600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Итого: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24"/>
                <w:szCs w:val="24"/>
                <w:rtl w:val="0"/>
              </w:rPr>
              <w:t xml:space="preserve">00</w:t>
            </w:r>
          </w:p>
        </w:tc>
      </w:tr>
    </w:tbl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Директор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rFonts w:ascii="Times New Roman" w:cs="Times New Roman" w:eastAsia="Times New Roman" w:hAnsi="Times New Roman"/>
          <w:smallCap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ООО 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Март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t xml:space="preserve">" ________________/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С.В.Карачев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z w:val="24"/>
          <w:szCs w:val="24"/>
          <w:rtl w:val="0"/>
        </w:rPr>
        <w:br w:type="textWrapping"/>
      </w:r>
    </w:p>
    <w:sectPr>
      <w:headerReference r:id="rId10" w:type="default"/>
      <w:pgSz w:h="16838" w:w="11906" w:orient="portrait"/>
      <w:pgMar w:bottom="567" w:top="567" w:left="567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"/>
      </w:tabs>
      <w:spacing w:after="120" w:before="240" w:line="276" w:lineRule="auto"/>
      <w:ind w:left="720" w:hanging="360"/>
      <w:jc w:val="center"/>
    </w:pPr>
    <w:rPr>
      <w:rFonts w:ascii="Times New Roman" w:cs="Times New Roman" w:eastAsia="Times New Roman" w:hAnsi="Times New Roman"/>
      <w:b w:val="1"/>
      <w:bCs w:val="1"/>
      <w:smallCaps w:val="0"/>
      <w:sz w:val="24"/>
      <w:szCs w:val="24"/>
    </w:rPr>
  </w:style>
  <w:style w:type="paragraph" w:styleId="Heading2">
    <w:name w:val="heading 2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440"/>
      </w:tabs>
      <w:spacing w:after="120" w:before="120" w:line="276" w:lineRule="auto"/>
      <w:ind w:left="1440" w:hanging="360"/>
      <w:jc w:val="both"/>
    </w:pPr>
    <w:rPr>
      <w:rFonts w:ascii="Times New Roman" w:cs="Times New Roman" w:eastAsia="Times New Roman" w:hAnsi="Times New Roman"/>
      <w:smallCaps w:val="0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info@gamma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gamma.ru" TargetMode="External"/><Relationship Id="rId8" Type="http://schemas.openxmlformats.org/officeDocument/2006/relationships/hyperlink" Target="mailto:info@gamm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TFapDjIyrqyDATJDsmjVEEAuCQ==">CgMxLjA4AXIhMVVjWVJaSjBJNkJNS2VBR1UtVEVPZnEySFVFc1N5VUpR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